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7600" w14:textId="77777777" w:rsidR="00FF07D7" w:rsidRDefault="00FF07D7" w:rsidP="00FF07D7">
      <w:r>
        <w:rPr>
          <w:rFonts w:ascii="Arial" w:hAnsi="Arial" w:cs="Arial"/>
          <w:sz w:val="24"/>
          <w:szCs w:val="24"/>
        </w:rPr>
        <w:t>Dear Partners,</w:t>
      </w:r>
    </w:p>
    <w:p w14:paraId="4717B13F" w14:textId="77777777" w:rsidR="00FF07D7" w:rsidRDefault="00FF07D7" w:rsidP="00FF07D7">
      <w:r>
        <w:rPr>
          <w:rFonts w:ascii="Arial" w:hAnsi="Arial" w:cs="Arial"/>
          <w:sz w:val="24"/>
          <w:szCs w:val="24"/>
        </w:rPr>
        <w:t> </w:t>
      </w:r>
    </w:p>
    <w:p w14:paraId="72F79028" w14:textId="77777777" w:rsidR="00FF07D7" w:rsidRDefault="00FF07D7" w:rsidP="00FF07D7">
      <w:r>
        <w:rPr>
          <w:rFonts w:ascii="Arial" w:hAnsi="Arial" w:cs="Arial"/>
          <w:sz w:val="24"/>
          <w:szCs w:val="24"/>
        </w:rPr>
        <w:t xml:space="preserve">Good news! Please be sure to share this information with your members, colleagues, staff and your clients. </w:t>
      </w:r>
    </w:p>
    <w:p w14:paraId="1E62394E" w14:textId="77777777" w:rsidR="00FF07D7" w:rsidRDefault="00FF07D7" w:rsidP="00FF07D7">
      <w:r>
        <w:rPr>
          <w:rFonts w:ascii="Arial" w:hAnsi="Arial" w:cs="Arial"/>
          <w:sz w:val="24"/>
          <w:szCs w:val="24"/>
        </w:rPr>
        <w:t> </w:t>
      </w:r>
    </w:p>
    <w:p w14:paraId="393D3908" w14:textId="77777777" w:rsidR="00FF07D7" w:rsidRDefault="00FF07D7" w:rsidP="00FF07D7">
      <w:r>
        <w:rPr>
          <w:rFonts w:ascii="Arial" w:hAnsi="Arial" w:cs="Arial"/>
          <w:sz w:val="24"/>
          <w:szCs w:val="24"/>
        </w:rPr>
        <w:t xml:space="preserve">The </w:t>
      </w:r>
      <w:hyperlink r:id="rId4" w:history="1">
        <w:r>
          <w:rPr>
            <w:rStyle w:val="Hyperlink"/>
            <w:rFonts w:ascii="Arial" w:hAnsi="Arial" w:cs="Arial"/>
            <w:sz w:val="24"/>
            <w:szCs w:val="24"/>
          </w:rPr>
          <w:t>Tax Pro Account launched today</w:t>
        </w:r>
      </w:hyperlink>
      <w:r>
        <w:rPr>
          <w:rFonts w:ascii="Arial" w:hAnsi="Arial" w:cs="Arial"/>
          <w:sz w:val="24"/>
          <w:szCs w:val="24"/>
        </w:rPr>
        <w:t xml:space="preserve">. It allows tax professionals to digitally initiate powers of attorney and tax information authorization requests. These digital requests are submitted to the individual clients’ Online Account, where the clients, after validating their identities, can select the “authorization” tab and digitally sign the request. The signed request records immediately to the Centralized Authorization File (CAF) database, eliminating the waiting period many face now. </w:t>
      </w:r>
    </w:p>
    <w:p w14:paraId="7CC1BD9F" w14:textId="77777777" w:rsidR="00FF07D7" w:rsidRDefault="00FF07D7" w:rsidP="00FF07D7">
      <w:r>
        <w:rPr>
          <w:rFonts w:ascii="Arial" w:hAnsi="Arial" w:cs="Arial"/>
          <w:sz w:val="24"/>
          <w:szCs w:val="24"/>
        </w:rPr>
        <w:t> </w:t>
      </w:r>
    </w:p>
    <w:p w14:paraId="2F94752C" w14:textId="77777777" w:rsidR="00FF07D7" w:rsidRDefault="00FF07D7" w:rsidP="00FF07D7">
      <w:r>
        <w:rPr>
          <w:rFonts w:ascii="Arial" w:hAnsi="Arial" w:cs="Arial"/>
          <w:sz w:val="24"/>
          <w:szCs w:val="24"/>
        </w:rPr>
        <w:t>Feedback from tax professionals suggested the IRS create some taxpayer-facing products that would help educate and increase awareness among this groundbreaking new process. We have created three products:</w:t>
      </w:r>
    </w:p>
    <w:p w14:paraId="6D5FEEED" w14:textId="77777777" w:rsidR="00FF07D7" w:rsidRDefault="00FF07D7" w:rsidP="00FF07D7">
      <w:r>
        <w:rPr>
          <w:rFonts w:ascii="Arial" w:hAnsi="Arial" w:cs="Arial"/>
          <w:sz w:val="24"/>
          <w:szCs w:val="24"/>
        </w:rPr>
        <w:t> </w:t>
      </w:r>
    </w:p>
    <w:p w14:paraId="145DE10D" w14:textId="77777777" w:rsidR="00FF07D7" w:rsidRDefault="00FF07D7" w:rsidP="00FF07D7">
      <w:hyperlink r:id="rId5" w:history="1">
        <w:r>
          <w:rPr>
            <w:rStyle w:val="Hyperlink"/>
            <w:rFonts w:ascii="Arial" w:hAnsi="Arial" w:cs="Arial"/>
            <w:sz w:val="24"/>
            <w:szCs w:val="24"/>
            <w:lang w:val="en"/>
          </w:rPr>
          <w:t>Publication 5533, Why You Should Create an IRS Online Account</w:t>
        </w:r>
      </w:hyperlink>
      <w:r>
        <w:rPr>
          <w:rFonts w:ascii="Arial" w:hAnsi="Arial" w:cs="Arial"/>
          <w:sz w:val="24"/>
          <w:szCs w:val="24"/>
          <w:lang w:val="en"/>
        </w:rPr>
        <w:t xml:space="preserve"> – Share with taxpayers; outlines the benefits of having an IRS Online Account</w:t>
      </w:r>
    </w:p>
    <w:p w14:paraId="708F7960" w14:textId="77777777" w:rsidR="00FF07D7" w:rsidRDefault="00FF07D7" w:rsidP="00FF07D7">
      <w:hyperlink r:id="rId6" w:history="1">
        <w:r>
          <w:rPr>
            <w:rStyle w:val="Hyperlink"/>
            <w:rFonts w:ascii="Arial" w:hAnsi="Arial" w:cs="Arial"/>
            <w:sz w:val="24"/>
            <w:szCs w:val="24"/>
            <w:lang w:val="en"/>
          </w:rPr>
          <w:t>Publication 5533-A, How to Submit Authorizations Using Tax Pro Account and Online Account</w:t>
        </w:r>
      </w:hyperlink>
      <w:r>
        <w:rPr>
          <w:rFonts w:ascii="Arial" w:hAnsi="Arial" w:cs="Arial"/>
          <w:sz w:val="24"/>
          <w:szCs w:val="24"/>
          <w:lang w:val="en"/>
        </w:rPr>
        <w:t xml:space="preserve"> – Share with taxpayers; outlines how the new digital authorization process works</w:t>
      </w:r>
    </w:p>
    <w:p w14:paraId="4B3046EB" w14:textId="77777777" w:rsidR="00FF07D7" w:rsidRDefault="00FF07D7" w:rsidP="00FF07D7">
      <w:hyperlink r:id="rId7" w:history="1">
        <w:r>
          <w:rPr>
            <w:rStyle w:val="Hyperlink"/>
            <w:rFonts w:ascii="Arial" w:hAnsi="Arial" w:cs="Arial"/>
            <w:sz w:val="24"/>
            <w:szCs w:val="24"/>
          </w:rPr>
          <w:t xml:space="preserve">Publication 5533-B, </w:t>
        </w:r>
        <w:r>
          <w:rPr>
            <w:rStyle w:val="Hyperlink"/>
            <w:rFonts w:ascii="Arial" w:hAnsi="Arial" w:cs="Arial"/>
            <w:sz w:val="24"/>
            <w:szCs w:val="24"/>
            <w:lang w:val="en"/>
          </w:rPr>
          <w:t xml:space="preserve">Benefits of Tax Pro Account and Digital Authorizations </w:t>
        </w:r>
      </w:hyperlink>
      <w:r>
        <w:rPr>
          <w:rFonts w:ascii="Arial" w:hAnsi="Arial" w:cs="Arial"/>
          <w:sz w:val="24"/>
          <w:szCs w:val="24"/>
        </w:rPr>
        <w:t> - Share with tax professional colleagues; outlines the benefits of Tax Pro Account and digital requests</w:t>
      </w:r>
    </w:p>
    <w:p w14:paraId="161D86B5" w14:textId="77777777" w:rsidR="00FF07D7" w:rsidRDefault="00FF07D7" w:rsidP="00FF07D7">
      <w:r>
        <w:rPr>
          <w:rFonts w:ascii="Arial" w:hAnsi="Arial" w:cs="Arial"/>
          <w:sz w:val="24"/>
          <w:szCs w:val="24"/>
        </w:rPr>
        <w:t> </w:t>
      </w:r>
    </w:p>
    <w:p w14:paraId="05C57F5C" w14:textId="77777777" w:rsidR="00FF07D7" w:rsidRDefault="00FF07D7" w:rsidP="00FF07D7">
      <w:r>
        <w:rPr>
          <w:rFonts w:ascii="Arial" w:hAnsi="Arial" w:cs="Arial"/>
          <w:sz w:val="24"/>
          <w:szCs w:val="24"/>
        </w:rPr>
        <w:t> </w:t>
      </w:r>
    </w:p>
    <w:p w14:paraId="04B3A958" w14:textId="77777777" w:rsidR="00FF07D7" w:rsidRDefault="00FF07D7" w:rsidP="00FF07D7">
      <w:r>
        <w:rPr>
          <w:rFonts w:ascii="Arial" w:hAnsi="Arial" w:cs="Arial"/>
          <w:sz w:val="24"/>
          <w:szCs w:val="24"/>
        </w:rPr>
        <w:t> </w:t>
      </w:r>
    </w:p>
    <w:p w14:paraId="7B743BEE" w14:textId="68CBF23B" w:rsidR="00FF07D7" w:rsidRDefault="00FF07D7" w:rsidP="00FF07D7">
      <w:r>
        <w:rPr>
          <w:rFonts w:asciiTheme="minorHAnsi" w:eastAsiaTheme="minorHAnsi" w:hAnsiTheme="minorHAnsi" w:cstheme="minorBidi"/>
          <w:noProof/>
        </w:rPr>
        <w:drawing>
          <wp:inline distT="0" distB="0" distL="0" distR="0" wp14:anchorId="6FACF951" wp14:editId="0BA58AD6">
            <wp:extent cx="396240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1428750"/>
                    </a:xfrm>
                    <a:prstGeom prst="rect">
                      <a:avLst/>
                    </a:prstGeom>
                    <a:noFill/>
                    <a:ln>
                      <a:noFill/>
                    </a:ln>
                  </pic:spPr>
                </pic:pic>
              </a:graphicData>
            </a:graphic>
          </wp:inline>
        </w:drawing>
      </w:r>
    </w:p>
    <w:p w14:paraId="352C04AF" w14:textId="77777777" w:rsidR="00FF07D7" w:rsidRDefault="00FF07D7" w:rsidP="00FF07D7">
      <w:r>
        <w:rPr>
          <w:rFonts w:ascii="Segoe UI" w:hAnsi="Segoe UI" w:cs="Segoe UI"/>
          <w:color w:val="1F497D"/>
          <w:sz w:val="20"/>
          <w:szCs w:val="20"/>
        </w:rPr>
        <w:t> </w:t>
      </w:r>
    </w:p>
    <w:p w14:paraId="74BC84B7" w14:textId="4BA16B27" w:rsidR="00FF07D7" w:rsidRDefault="00FF07D7" w:rsidP="00FF07D7">
      <w:r>
        <w:rPr>
          <w:rFonts w:ascii="Segoe UI" w:hAnsi="Segoe UI" w:cs="Segoe UI"/>
          <w:color w:val="1F497D"/>
          <w:sz w:val="20"/>
          <w:szCs w:val="20"/>
        </w:rPr>
        <w:t xml:space="preserve">Follow us: </w:t>
      </w:r>
      <w:r>
        <w:rPr>
          <w:rFonts w:asciiTheme="minorHAnsi" w:eastAsiaTheme="minorHAnsi" w:hAnsiTheme="minorHAnsi" w:cstheme="minorBidi"/>
          <w:noProof/>
        </w:rPr>
        <w:drawing>
          <wp:inline distT="0" distB="0" distL="0" distR="0" wp14:anchorId="59E5931F" wp14:editId="4BD1D33B">
            <wp:extent cx="209550" cy="209550"/>
            <wp:effectExtent l="0" t="0" r="0" b="0"/>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Segoe UI" w:hAnsi="Segoe UI" w:cs="Segoe UI"/>
          <w:color w:val="1F497D"/>
          <w:sz w:val="20"/>
          <w:szCs w:val="20"/>
        </w:rPr>
        <w:t> </w:t>
      </w:r>
      <w:r>
        <w:rPr>
          <w:rFonts w:asciiTheme="minorHAnsi" w:eastAsiaTheme="minorHAnsi" w:hAnsiTheme="minorHAnsi" w:cstheme="minorBidi"/>
          <w:noProof/>
        </w:rPr>
        <w:drawing>
          <wp:inline distT="0" distB="0" distL="0" distR="0" wp14:anchorId="5749E3B4" wp14:editId="45F80528">
            <wp:extent cx="209550" cy="209550"/>
            <wp:effectExtent l="0" t="0" r="0" b="0"/>
            <wp:docPr id="7" name="Picture 7">
              <a:hlinkClick xmlns:a="http://schemas.openxmlformats.org/drawingml/2006/main" r:id="rId11" tooltip="You Tube Video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Segoe UI" w:hAnsi="Segoe UI" w:cs="Segoe UI"/>
          <w:color w:val="1F497D"/>
          <w:sz w:val="20"/>
          <w:szCs w:val="20"/>
        </w:rPr>
        <w:t> </w:t>
      </w:r>
      <w:r>
        <w:rPr>
          <w:rFonts w:asciiTheme="minorHAnsi" w:eastAsiaTheme="minorHAnsi" w:hAnsiTheme="minorHAnsi" w:cstheme="minorBidi"/>
          <w:noProof/>
        </w:rPr>
        <w:drawing>
          <wp:inline distT="0" distB="0" distL="0" distR="0" wp14:anchorId="48B14941" wp14:editId="1ECB6BB5">
            <wp:extent cx="209550" cy="209550"/>
            <wp:effectExtent l="0" t="0" r="0" b="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Segoe UI" w:hAnsi="Segoe UI" w:cs="Segoe UI"/>
          <w:color w:val="1F497D"/>
          <w:sz w:val="20"/>
          <w:szCs w:val="20"/>
        </w:rPr>
        <w:t> </w:t>
      </w:r>
      <w:r>
        <w:rPr>
          <w:rFonts w:asciiTheme="minorHAnsi" w:eastAsiaTheme="minorHAnsi" w:hAnsiTheme="minorHAnsi" w:cstheme="minorBidi"/>
          <w:noProof/>
        </w:rPr>
        <w:drawing>
          <wp:inline distT="0" distB="0" distL="0" distR="0" wp14:anchorId="54542CC9" wp14:editId="6AEDDD85">
            <wp:extent cx="209550" cy="209550"/>
            <wp:effectExtent l="0" t="0" r="0" b="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Segoe UI" w:hAnsi="Segoe UI" w:cs="Segoe UI"/>
          <w:color w:val="1F497D"/>
          <w:sz w:val="20"/>
          <w:szCs w:val="20"/>
        </w:rPr>
        <w:t> </w:t>
      </w:r>
      <w:r>
        <w:rPr>
          <w:rFonts w:asciiTheme="minorHAnsi" w:eastAsiaTheme="minorHAnsi" w:hAnsiTheme="minorHAnsi" w:cstheme="minorBidi"/>
          <w:noProof/>
        </w:rPr>
        <w:drawing>
          <wp:inline distT="0" distB="0" distL="0" distR="0" wp14:anchorId="3C47039F" wp14:editId="04072565">
            <wp:extent cx="209550" cy="209550"/>
            <wp:effectExtent l="0" t="0" r="0" b="0"/>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Segoe UI" w:hAnsi="Segoe UI" w:cs="Segoe UI"/>
          <w:color w:val="1F497D"/>
          <w:sz w:val="20"/>
          <w:szCs w:val="20"/>
        </w:rPr>
        <w:t xml:space="preserve">   </w:t>
      </w:r>
      <w:proofErr w:type="gramStart"/>
      <w:r>
        <w:rPr>
          <w:rFonts w:ascii="Arial" w:hAnsi="Arial" w:cs="Arial"/>
          <w:color w:val="1F497D"/>
          <w:sz w:val="20"/>
          <w:szCs w:val="20"/>
        </w:rPr>
        <w:t>I</w:t>
      </w:r>
      <w:r>
        <w:rPr>
          <w:rFonts w:ascii="Segoe UI" w:hAnsi="Segoe UI" w:cs="Segoe UI"/>
          <w:color w:val="1F497D"/>
          <w:sz w:val="20"/>
          <w:szCs w:val="20"/>
        </w:rPr>
        <w:t xml:space="preserve">  </w:t>
      </w:r>
      <w:proofErr w:type="spellStart"/>
      <w:r>
        <w:rPr>
          <w:rFonts w:ascii="Segoe UI" w:hAnsi="Segoe UI" w:cs="Segoe UI"/>
          <w:color w:val="1F497D"/>
          <w:sz w:val="20"/>
          <w:szCs w:val="20"/>
        </w:rPr>
        <w:t>Síganos</w:t>
      </w:r>
      <w:proofErr w:type="spellEnd"/>
      <w:proofErr w:type="gramEnd"/>
      <w:r>
        <w:rPr>
          <w:rFonts w:ascii="Segoe UI" w:hAnsi="Segoe UI" w:cs="Segoe UI"/>
          <w:color w:val="1F497D"/>
          <w:sz w:val="20"/>
          <w:szCs w:val="20"/>
        </w:rPr>
        <w:t>: </w:t>
      </w:r>
      <w:r>
        <w:rPr>
          <w:rFonts w:asciiTheme="minorHAnsi" w:eastAsiaTheme="minorHAnsi" w:hAnsiTheme="minorHAnsi" w:cstheme="minorBidi"/>
          <w:noProof/>
        </w:rPr>
        <w:drawing>
          <wp:inline distT="0" distB="0" distL="0" distR="0" wp14:anchorId="0B62B41F" wp14:editId="2F551BAD">
            <wp:extent cx="209550" cy="209550"/>
            <wp:effectExtent l="0" t="0" r="0" b="0"/>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Segoe UI" w:hAnsi="Segoe UI" w:cs="Segoe UI"/>
          <w:color w:val="1F497D"/>
          <w:sz w:val="20"/>
          <w:szCs w:val="20"/>
        </w:rPr>
        <w:t> </w:t>
      </w:r>
      <w:r>
        <w:rPr>
          <w:rFonts w:asciiTheme="minorHAnsi" w:eastAsiaTheme="minorHAnsi" w:hAnsiTheme="minorHAnsi" w:cstheme="minorBidi"/>
          <w:noProof/>
        </w:rPr>
        <w:drawing>
          <wp:inline distT="0" distB="0" distL="0" distR="0" wp14:anchorId="64A4B611" wp14:editId="47A26E71">
            <wp:extent cx="209550" cy="209550"/>
            <wp:effectExtent l="0" t="0" r="0" b="0"/>
            <wp:docPr id="2" name="Picture 2">
              <a:hlinkClick xmlns:a="http://schemas.openxmlformats.org/drawingml/2006/main" r:id="rId20" tooltip="You Tube Video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Segoe UI" w:hAnsi="Segoe UI" w:cs="Segoe UI"/>
          <w:color w:val="1F497D"/>
          <w:sz w:val="20"/>
          <w:szCs w:val="20"/>
        </w:rPr>
        <w:t> </w:t>
      </w:r>
      <w:r>
        <w:rPr>
          <w:rFonts w:asciiTheme="minorHAnsi" w:eastAsiaTheme="minorHAnsi" w:hAnsiTheme="minorHAnsi" w:cstheme="minorBidi"/>
          <w:noProof/>
        </w:rPr>
        <w:drawing>
          <wp:inline distT="0" distB="0" distL="0" distR="0" wp14:anchorId="1DE99BD8" wp14:editId="48F0B2FF">
            <wp:extent cx="209550" cy="209550"/>
            <wp:effectExtent l="0" t="0" r="0" b="0"/>
            <wp:docPr id="1" name="Pictur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14:paraId="7F3C43D5" w14:textId="77777777" w:rsidR="00FF07D7" w:rsidRDefault="00FF07D7" w:rsidP="00FF07D7">
      <w:r>
        <w:rPr>
          <w:rFonts w:ascii="Arial" w:hAnsi="Arial" w:cs="Arial"/>
          <w:sz w:val="24"/>
          <w:szCs w:val="24"/>
        </w:rPr>
        <w:t> </w:t>
      </w:r>
    </w:p>
    <w:p w14:paraId="6757510A" w14:textId="4DDFDACE" w:rsidR="006420D5" w:rsidRDefault="00FF07D7">
      <w:r>
        <w:t> </w:t>
      </w:r>
    </w:p>
    <w:sectPr w:rsidR="00642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D7"/>
    <w:rsid w:val="006420D5"/>
    <w:rsid w:val="00FF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0309"/>
  <w15:chartTrackingRefBased/>
  <w15:docId w15:val="{10712EBB-6467-473B-9236-0D36F919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D7"/>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7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04">
      <w:bodyDiv w:val="1"/>
      <w:marLeft w:val="0"/>
      <w:marRight w:val="0"/>
      <w:marTop w:val="0"/>
      <w:marBottom w:val="0"/>
      <w:divBdr>
        <w:top w:val="none" w:sz="0" w:space="0" w:color="auto"/>
        <w:left w:val="none" w:sz="0" w:space="0" w:color="auto"/>
        <w:bottom w:val="none" w:sz="0" w:space="0" w:color="auto"/>
        <w:right w:val="none" w:sz="0" w:space="0" w:color="auto"/>
      </w:divBdr>
      <w:divsChild>
        <w:div w:id="2133867060">
          <w:marLeft w:val="0"/>
          <w:marRight w:val="0"/>
          <w:marTop w:val="0"/>
          <w:marBottom w:val="0"/>
          <w:divBdr>
            <w:top w:val="none" w:sz="0" w:space="0" w:color="auto"/>
            <w:left w:val="none" w:sz="0" w:space="0" w:color="auto"/>
            <w:bottom w:val="none" w:sz="0" w:space="0" w:color="auto"/>
            <w:right w:val="none" w:sz="0" w:space="0" w:color="auto"/>
          </w:divBdr>
          <w:divsChild>
            <w:div w:id="17802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irsnews"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s://twitter.com/IRSenEspanol" TargetMode="External"/><Relationship Id="rId7" Type="http://schemas.openxmlformats.org/officeDocument/2006/relationships/hyperlink" Target="https://www.irs.gov/pub/irs-pdf/p5533b.pdf" TargetMode="External"/><Relationship Id="rId12" Type="http://schemas.openxmlformats.org/officeDocument/2006/relationships/image" Target="media/image3.png"/><Relationship Id="rId17" Type="http://schemas.openxmlformats.org/officeDocument/2006/relationships/hyperlink" Target="https://www.linkedin.com/company/internal-revenue-service/"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www.youtube.com/user/irsvideosmultilingua" TargetMode="External"/><Relationship Id="rId1" Type="http://schemas.openxmlformats.org/officeDocument/2006/relationships/styles" Target="styles.xml"/><Relationship Id="rId6" Type="http://schemas.openxmlformats.org/officeDocument/2006/relationships/hyperlink" Target="https://www.irs.gov/pub/irs-pdf/p5533a.pdf" TargetMode="External"/><Relationship Id="rId11" Type="http://schemas.openxmlformats.org/officeDocument/2006/relationships/hyperlink" Target="https://www.youtube.com/user/irsvideos" TargetMode="External"/><Relationship Id="rId5" Type="http://schemas.openxmlformats.org/officeDocument/2006/relationships/hyperlink" Target="https://www.irs.gov/pub/irs-pdf/p5533.pdf" TargetMode="External"/><Relationship Id="rId15" Type="http://schemas.openxmlformats.org/officeDocument/2006/relationships/hyperlink" Target="https://twitter.com/IRSnew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facebook.com/IRSenEspanol/" TargetMode="External"/><Relationship Id="rId4" Type="http://schemas.openxmlformats.org/officeDocument/2006/relationships/hyperlink" Target="https://www.irs.gov/newsroom/irs-improves-services-to-taxpayers-with-digital-authorizations-and-launch-of-new-tax-pro-account" TargetMode="External"/><Relationship Id="rId9" Type="http://schemas.openxmlformats.org/officeDocument/2006/relationships/hyperlink" Target="https://www.facebook.com/IRS/"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1</cp:revision>
  <dcterms:created xsi:type="dcterms:W3CDTF">2021-07-19T23:07:00Z</dcterms:created>
  <dcterms:modified xsi:type="dcterms:W3CDTF">2021-07-19T23:07:00Z</dcterms:modified>
</cp:coreProperties>
</file>